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79500" w14:textId="32EFE7C6" w:rsidR="00BA05A9" w:rsidRDefault="00E1574C">
      <w:pPr>
        <w:pStyle w:val="Titre"/>
        <w:jc w:val="center"/>
      </w:pPr>
      <w:r>
        <w:t>Communiqué de presse</w:t>
      </w:r>
    </w:p>
    <w:p w14:paraId="64A988F2" w14:textId="550552AA" w:rsidR="00E1574C" w:rsidRPr="00E1574C" w:rsidRDefault="00BE5996" w:rsidP="00E1574C">
      <w:pPr>
        <w:jc w:val="center"/>
      </w:pPr>
      <w:r>
        <w:t>Le hub des prescripteurs bas carbone</w:t>
      </w:r>
    </w:p>
    <w:p w14:paraId="40218882" w14:textId="7F0DB67A" w:rsidR="00BA05A9" w:rsidRDefault="00BA05A9">
      <w:pPr>
        <w:jc w:val="both"/>
      </w:pPr>
    </w:p>
    <w:p w14:paraId="4C1E6E77" w14:textId="77777777" w:rsidR="00E1574C" w:rsidRDefault="00E1574C">
      <w:pPr>
        <w:jc w:val="both"/>
      </w:pPr>
    </w:p>
    <w:p w14:paraId="77348907" w14:textId="3B612422" w:rsidR="008F111B" w:rsidRDefault="00EF5FFE" w:rsidP="00E44712">
      <w:pPr>
        <w:jc w:val="both"/>
      </w:pPr>
      <w:bookmarkStart w:id="0" w:name="_GoBack"/>
      <w:r>
        <w:t>« Relance verte » de la construction</w:t>
      </w:r>
      <w:r w:rsidR="00682811">
        <w:t xml:space="preserve"> </w:t>
      </w:r>
      <w:r w:rsidR="00915390">
        <w:t xml:space="preserve">à court terme </w:t>
      </w:r>
      <w:r>
        <w:t xml:space="preserve">ou réglementation </w:t>
      </w:r>
      <w:r w:rsidR="00682811">
        <w:t xml:space="preserve">environnementale </w:t>
      </w:r>
      <w:r w:rsidR="00DB0D99">
        <w:t xml:space="preserve">imminente </w:t>
      </w:r>
      <w:r w:rsidR="00682811">
        <w:t xml:space="preserve">des construction neuves </w:t>
      </w:r>
      <w:r w:rsidR="00C64AD7">
        <w:t>(RE2020</w:t>
      </w:r>
      <w:r w:rsidR="00DB0D99">
        <w:t>)</w:t>
      </w:r>
      <w:r w:rsidR="00600A7C">
        <w:t xml:space="preserve">, </w:t>
      </w:r>
      <w:r>
        <w:t>co</w:t>
      </w:r>
      <w:r w:rsidR="008F111B">
        <w:t xml:space="preserve">nstruire bas carbone </w:t>
      </w:r>
      <w:r w:rsidR="00872626">
        <w:t>est d’ores et déjà</w:t>
      </w:r>
      <w:r>
        <w:t xml:space="preserve"> un savoir-faire essentiel</w:t>
      </w:r>
      <w:r w:rsidR="00600A7C">
        <w:t xml:space="preserve">, </w:t>
      </w:r>
      <w:r w:rsidR="00872626">
        <w:t xml:space="preserve">bientôt </w:t>
      </w:r>
      <w:r w:rsidR="00600A7C" w:rsidRPr="00600A7C">
        <w:rPr>
          <w:i/>
          <w:iCs/>
        </w:rPr>
        <w:t>sine qua non</w:t>
      </w:r>
      <w:r w:rsidR="00600A7C">
        <w:t>.</w:t>
      </w:r>
    </w:p>
    <w:p w14:paraId="074FE52C" w14:textId="17FC34A7" w:rsidR="00EF5FFE" w:rsidRDefault="00EF5FFE" w:rsidP="00E44712">
      <w:pPr>
        <w:jc w:val="both"/>
      </w:pPr>
    </w:p>
    <w:p w14:paraId="1E34EAF8" w14:textId="612AC699" w:rsidR="00925139" w:rsidRDefault="00DB0D99" w:rsidP="00682811">
      <w:pPr>
        <w:jc w:val="both"/>
      </w:pPr>
      <w:r>
        <w:t xml:space="preserve">1/ </w:t>
      </w:r>
      <w:r w:rsidR="00600A7C">
        <w:t xml:space="preserve">Améliorer fortement la qualité de l’information publique </w:t>
      </w:r>
      <w:r>
        <w:t xml:space="preserve">et </w:t>
      </w:r>
      <w:r w:rsidR="00872626">
        <w:t xml:space="preserve">disposer </w:t>
      </w:r>
      <w:r w:rsidR="00CC45D1">
        <w:t>de retours d’expérience consolidé</w:t>
      </w:r>
      <w:r w:rsidR="008905E6">
        <w:t>s</w:t>
      </w:r>
      <w:r>
        <w:t xml:space="preserve"> </w:t>
      </w:r>
      <w:r w:rsidR="00600A7C">
        <w:t>sur les performances d</w:t>
      </w:r>
      <w:r>
        <w:t xml:space="preserve">es </w:t>
      </w:r>
      <w:r w:rsidR="00600A7C">
        <w:t xml:space="preserve">opérations, </w:t>
      </w:r>
      <w:r>
        <w:t xml:space="preserve">2/ </w:t>
      </w:r>
      <w:r w:rsidR="00600A7C">
        <w:t>créer les</w:t>
      </w:r>
      <w:r w:rsidR="00724D6C">
        <w:t xml:space="preserve"> </w:t>
      </w:r>
      <w:r w:rsidR="00600A7C">
        <w:t xml:space="preserve">conditions </w:t>
      </w:r>
      <w:r w:rsidR="00CC45D1">
        <w:t xml:space="preserve">saines </w:t>
      </w:r>
      <w:r w:rsidR="00600A7C">
        <w:t xml:space="preserve">d’une compétition bas carbone des </w:t>
      </w:r>
      <w:r w:rsidR="00D24328">
        <w:t>maîtres d’ouvrage</w:t>
      </w:r>
      <w:r w:rsidR="00CC45D1">
        <w:t xml:space="preserve"> (</w:t>
      </w:r>
      <w:r w:rsidR="00600A7C">
        <w:t>indépendamment de</w:t>
      </w:r>
      <w:r w:rsidR="00F57200">
        <w:t xml:space="preserve"> celle de</w:t>
      </w:r>
      <w:r w:rsidR="00600A7C">
        <w:t>s solutions constructives de l’autre</w:t>
      </w:r>
      <w:r w:rsidR="00CC45D1">
        <w:t>)</w:t>
      </w:r>
      <w:r w:rsidR="007C2787">
        <w:t xml:space="preserve"> ; ce sont </w:t>
      </w:r>
      <w:r w:rsidR="00600A7C">
        <w:t>les premières</w:t>
      </w:r>
      <w:r w:rsidR="006D2D2B">
        <w:t xml:space="preserve"> propositions à toute la profession</w:t>
      </w:r>
      <w:r w:rsidR="00600A7C">
        <w:t xml:space="preserve"> </w:t>
      </w:r>
      <w:r w:rsidR="00120D7F">
        <w:t xml:space="preserve">exprimées par le </w:t>
      </w:r>
      <w:r w:rsidR="00813D8E">
        <w:t>H</w:t>
      </w:r>
      <w:r w:rsidR="00682811">
        <w:t xml:space="preserve">ub des </w:t>
      </w:r>
      <w:r w:rsidR="00813D8E">
        <w:t>P</w:t>
      </w:r>
      <w:r w:rsidR="00682811">
        <w:t xml:space="preserve">rescripteurs </w:t>
      </w:r>
      <w:r w:rsidR="00813D8E">
        <w:t>B</w:t>
      </w:r>
      <w:r w:rsidR="00682811">
        <w:t xml:space="preserve">as </w:t>
      </w:r>
      <w:r w:rsidR="00813D8E">
        <w:t>C</w:t>
      </w:r>
      <w:r w:rsidR="00682811">
        <w:t>arbone, coalition de maîtres d’ouvrages et entreprises générales*</w:t>
      </w:r>
      <w:r w:rsidR="00C014AF">
        <w:t xml:space="preserve"> </w:t>
      </w:r>
      <w:r w:rsidR="007D27DD">
        <w:t>totalisant 4 millions de m</w:t>
      </w:r>
      <w:r w:rsidR="007D27DD" w:rsidRPr="007D27DD">
        <w:rPr>
          <w:vertAlign w:val="superscript"/>
        </w:rPr>
        <w:t>2</w:t>
      </w:r>
      <w:r w:rsidR="007D27DD">
        <w:t xml:space="preserve"> livrés par an, confié</w:t>
      </w:r>
      <w:r w:rsidR="00120D7F">
        <w:t>e</w:t>
      </w:r>
      <w:r w:rsidR="007D27DD">
        <w:t>s à l’IFPEB et Carbone 4.</w:t>
      </w:r>
    </w:p>
    <w:p w14:paraId="4413566A" w14:textId="77777777" w:rsidR="00925139" w:rsidRDefault="00925139" w:rsidP="00682811">
      <w:pPr>
        <w:jc w:val="both"/>
      </w:pPr>
    </w:p>
    <w:p w14:paraId="77BAE855" w14:textId="02CC3144" w:rsidR="00925139" w:rsidRDefault="007D27DD" w:rsidP="00682811">
      <w:pPr>
        <w:jc w:val="both"/>
      </w:pPr>
      <w:r>
        <w:t>Ces analyses ont été commentées</w:t>
      </w:r>
      <w:r w:rsidR="00120D7F">
        <w:t>,</w:t>
      </w:r>
      <w:r>
        <w:t xml:space="preserve"> chiffre</w:t>
      </w:r>
      <w:r w:rsidR="00120D7F">
        <w:t>s</w:t>
      </w:r>
      <w:r>
        <w:t xml:space="preserve"> à l’appui</w:t>
      </w:r>
      <w:r w:rsidR="00120D7F">
        <w:t>,</w:t>
      </w:r>
      <w:r>
        <w:t xml:space="preserve"> vend</w:t>
      </w:r>
      <w:r w:rsidR="00C078EC">
        <w:t>redi dernier dans un webinaire</w:t>
      </w:r>
      <w:r w:rsidR="00042614">
        <w:t xml:space="preserve"> très suivi.</w:t>
      </w:r>
      <w:r w:rsidR="00925139">
        <w:t xml:space="preserve"> Pour cela, le </w:t>
      </w:r>
      <w:r w:rsidR="00E91773">
        <w:t>Hub</w:t>
      </w:r>
      <w:r w:rsidR="00925139">
        <w:t xml:space="preserve">, </w:t>
      </w:r>
      <w:r w:rsidR="003D7035">
        <w:t xml:space="preserve">actif depuis neuf mois, </w:t>
      </w:r>
      <w:r w:rsidR="00600A7C">
        <w:t xml:space="preserve">s’est </w:t>
      </w:r>
      <w:r w:rsidR="00682811">
        <w:t>doté d’outils d’</w:t>
      </w:r>
      <w:r w:rsidR="00DD054B">
        <w:t>interprétation</w:t>
      </w:r>
      <w:r w:rsidR="00682811">
        <w:t xml:space="preserve"> des opérations </w:t>
      </w:r>
      <w:r w:rsidR="00A95F96">
        <w:t xml:space="preserve">d’une part </w:t>
      </w:r>
      <w:r w:rsidR="00682811">
        <w:t xml:space="preserve">et des matériaux </w:t>
      </w:r>
      <w:r w:rsidR="00A95F96">
        <w:t xml:space="preserve">de l’autre, </w:t>
      </w:r>
      <w:r w:rsidR="00682811">
        <w:t>basés sur les données publiques</w:t>
      </w:r>
      <w:r w:rsidR="0071079B">
        <w:t>,</w:t>
      </w:r>
      <w:r w:rsidR="00682811">
        <w:t xml:space="preserve"> </w:t>
      </w:r>
      <w:r w:rsidR="00813D8E">
        <w:t xml:space="preserve">retraitées </w:t>
      </w:r>
      <w:r w:rsidR="00682811">
        <w:t xml:space="preserve">afin d’en améliorer </w:t>
      </w:r>
      <w:r w:rsidR="00CC45D1">
        <w:t xml:space="preserve">la qualité et </w:t>
      </w:r>
      <w:r w:rsidR="00682811">
        <w:t xml:space="preserve">la </w:t>
      </w:r>
      <w:r w:rsidR="003D7035">
        <w:t>lisibilité</w:t>
      </w:r>
      <w:r w:rsidR="00CC45D1">
        <w:t>,</w:t>
      </w:r>
      <w:r w:rsidR="00682811">
        <w:t xml:space="preserve"> et</w:t>
      </w:r>
      <w:r w:rsidR="00CC45D1">
        <w:t xml:space="preserve"> ainsi</w:t>
      </w:r>
      <w:r w:rsidR="00682811">
        <w:t xml:space="preserve"> mettre en place des comparaisons et analyses fructueuses.</w:t>
      </w:r>
    </w:p>
    <w:p w14:paraId="5C51CA72" w14:textId="77777777" w:rsidR="00925139" w:rsidRDefault="00925139" w:rsidP="00682811">
      <w:pPr>
        <w:jc w:val="both"/>
      </w:pPr>
    </w:p>
    <w:p w14:paraId="042C7CCA" w14:textId="335E2F8F" w:rsidR="00682811" w:rsidRDefault="003D7035" w:rsidP="00682811">
      <w:pPr>
        <w:jc w:val="both"/>
      </w:pPr>
      <w:r w:rsidRPr="003D7035">
        <w:rPr>
          <w:i/>
          <w:iCs/>
        </w:rPr>
        <w:t>« Jusque-là l’existence de coefficients de sécurité et l’absence de cohérence</w:t>
      </w:r>
      <w:r w:rsidR="00D24328">
        <w:rPr>
          <w:i/>
          <w:iCs/>
        </w:rPr>
        <w:t xml:space="preserve"> des données brutes</w:t>
      </w:r>
      <w:r w:rsidRPr="003D7035">
        <w:rPr>
          <w:i/>
          <w:iCs/>
        </w:rPr>
        <w:t xml:space="preserve"> ont rendu difficile le partage de vrais repères dans la profession</w:t>
      </w:r>
      <w:r>
        <w:t xml:space="preserve"> » relève </w:t>
      </w:r>
      <w:r w:rsidR="00C66E44">
        <w:t xml:space="preserve">Valentina </w:t>
      </w:r>
      <w:proofErr w:type="spellStart"/>
      <w:r w:rsidR="00C66E44">
        <w:t>Balbis</w:t>
      </w:r>
      <w:proofErr w:type="spellEnd"/>
      <w:r w:rsidR="00C078EC">
        <w:t xml:space="preserve">, </w:t>
      </w:r>
      <w:r w:rsidR="00C3011F">
        <w:t xml:space="preserve">appuyée par May </w:t>
      </w:r>
      <w:proofErr w:type="spellStart"/>
      <w:r w:rsidR="00C3011F">
        <w:t>Nemeh</w:t>
      </w:r>
      <w:proofErr w:type="spellEnd"/>
      <w:r w:rsidR="00C3011F">
        <w:t>, respectivement directrice</w:t>
      </w:r>
      <w:r w:rsidR="00DA04C8">
        <w:t xml:space="preserve"> adjointe et directrice</w:t>
      </w:r>
      <w:r w:rsidR="00C3011F">
        <w:t xml:space="preserve"> Technique et I</w:t>
      </w:r>
      <w:r w:rsidR="00CC45D1">
        <w:t xml:space="preserve">nnovation </w:t>
      </w:r>
      <w:r w:rsidR="00C078EC">
        <w:t>d</w:t>
      </w:r>
      <w:r w:rsidR="00CC45D1">
        <w:t>u groupe</w:t>
      </w:r>
      <w:r w:rsidR="00C078EC">
        <w:t xml:space="preserve"> </w:t>
      </w:r>
      <w:r>
        <w:t>SOGEPROM</w:t>
      </w:r>
      <w:r w:rsidR="00C3011F">
        <w:t xml:space="preserve">, </w:t>
      </w:r>
      <w:r>
        <w:t>« </w:t>
      </w:r>
      <w:r w:rsidRPr="003D7035">
        <w:rPr>
          <w:i/>
          <w:iCs/>
        </w:rPr>
        <w:t xml:space="preserve">Nous avons </w:t>
      </w:r>
      <w:r w:rsidR="009C0543">
        <w:rPr>
          <w:i/>
          <w:iCs/>
        </w:rPr>
        <w:t xml:space="preserve">enfin </w:t>
      </w:r>
      <w:r w:rsidRPr="003D7035">
        <w:rPr>
          <w:i/>
          <w:iCs/>
        </w:rPr>
        <w:t>une base</w:t>
      </w:r>
      <w:r>
        <w:rPr>
          <w:i/>
          <w:iCs/>
        </w:rPr>
        <w:t xml:space="preserve"> saine</w:t>
      </w:r>
      <w:r w:rsidRPr="003D7035">
        <w:rPr>
          <w:i/>
          <w:iCs/>
        </w:rPr>
        <w:t xml:space="preserve"> </w:t>
      </w:r>
      <w:r w:rsidR="001C4057">
        <w:rPr>
          <w:i/>
          <w:iCs/>
        </w:rPr>
        <w:t>et corrigée pour l</w:t>
      </w:r>
      <w:r w:rsidRPr="003D7035">
        <w:rPr>
          <w:i/>
          <w:iCs/>
        </w:rPr>
        <w:t>’analyse des performances</w:t>
      </w:r>
      <w:r>
        <w:t>. »</w:t>
      </w:r>
    </w:p>
    <w:p w14:paraId="7EE0E71E" w14:textId="7200AE7C" w:rsidR="00C078EC" w:rsidRDefault="00C078EC" w:rsidP="00682811">
      <w:pPr>
        <w:jc w:val="both"/>
      </w:pPr>
    </w:p>
    <w:p w14:paraId="5E08E67A" w14:textId="0BCEA651" w:rsidR="00EF0C12" w:rsidRDefault="00F57200" w:rsidP="00EF0C12">
      <w:pPr>
        <w:jc w:val="both"/>
      </w:pPr>
      <w:r>
        <w:t xml:space="preserve">Grâce à ce socle d’analyse, le </w:t>
      </w:r>
      <w:r w:rsidR="00E91773">
        <w:t xml:space="preserve">Hub </w:t>
      </w:r>
      <w:r>
        <w:t xml:space="preserve">adresse maintenant l’opérationnel : l’aide à la décision en matière de choix des solutions constructives et de leur rapport carbone/prix. </w:t>
      </w:r>
      <w:r w:rsidR="00EF0C12">
        <w:t xml:space="preserve">Pour </w:t>
      </w:r>
      <w:r>
        <w:t>Jean-</w:t>
      </w:r>
      <w:r w:rsidR="00395724">
        <w:t>Éric</w:t>
      </w:r>
      <w:r>
        <w:t xml:space="preserve"> Fournier, </w:t>
      </w:r>
      <w:r w:rsidR="00E91773">
        <w:t>directeur du</w:t>
      </w:r>
      <w:r>
        <w:t xml:space="preserve"> </w:t>
      </w:r>
      <w:r w:rsidR="00CC45D1">
        <w:t xml:space="preserve">développement durable </w:t>
      </w:r>
      <w:r>
        <w:t>de</w:t>
      </w:r>
      <w:r w:rsidR="00EF0C12">
        <w:t xml:space="preserve"> </w:t>
      </w:r>
      <w:proofErr w:type="spellStart"/>
      <w:r w:rsidR="00E65715">
        <w:t>Covivio</w:t>
      </w:r>
      <w:proofErr w:type="spellEnd"/>
      <w:r w:rsidR="00E91773">
        <w:t>,</w:t>
      </w:r>
      <w:r w:rsidR="00EF0C12">
        <w:t xml:space="preserve"> </w:t>
      </w:r>
      <w:r w:rsidR="00EF0C12" w:rsidRPr="0071079B">
        <w:rPr>
          <w:i/>
          <w:iCs/>
        </w:rPr>
        <w:t>« n</w:t>
      </w:r>
      <w:r w:rsidR="00724D6C" w:rsidRPr="0071079B">
        <w:rPr>
          <w:i/>
          <w:iCs/>
        </w:rPr>
        <w:t xml:space="preserve">os engagements sur le carbone </w:t>
      </w:r>
      <w:r w:rsidR="00813D8E" w:rsidRPr="0071079B">
        <w:rPr>
          <w:i/>
          <w:iCs/>
        </w:rPr>
        <w:t xml:space="preserve">dans le cadre de la trajectoire 2°C vont intégrer </w:t>
      </w:r>
      <w:r w:rsidR="00724D6C" w:rsidRPr="0071079B">
        <w:rPr>
          <w:i/>
          <w:iCs/>
        </w:rPr>
        <w:t>naturellement notre responsabilité</w:t>
      </w:r>
      <w:r w:rsidR="00EF0C12" w:rsidRPr="0071079B">
        <w:rPr>
          <w:i/>
          <w:iCs/>
        </w:rPr>
        <w:t xml:space="preserve"> sur le choix des solutions constructives</w:t>
      </w:r>
      <w:r w:rsidRPr="0071079B">
        <w:rPr>
          <w:i/>
          <w:iCs/>
        </w:rPr>
        <w:t xml:space="preserve"> et leurs </w:t>
      </w:r>
      <w:r w:rsidR="00EF0C12" w:rsidRPr="0071079B">
        <w:rPr>
          <w:i/>
          <w:iCs/>
        </w:rPr>
        <w:t>émissions sur le cycle de vie </w:t>
      </w:r>
      <w:r w:rsidR="00EF0C12">
        <w:t xml:space="preserve">» </w:t>
      </w:r>
      <w:r w:rsidR="00CC45D1">
        <w:t>précise-t-il</w:t>
      </w:r>
      <w:r w:rsidR="00EF0C12">
        <w:t>. « </w:t>
      </w:r>
      <w:r w:rsidR="0007557A" w:rsidRPr="0071079B">
        <w:rPr>
          <w:i/>
          <w:iCs/>
        </w:rPr>
        <w:t xml:space="preserve">Nos opérations </w:t>
      </w:r>
      <w:r w:rsidR="00C66E44">
        <w:rPr>
          <w:i/>
          <w:iCs/>
        </w:rPr>
        <w:t>vont</w:t>
      </w:r>
      <w:r w:rsidR="0007557A" w:rsidRPr="0071079B">
        <w:rPr>
          <w:i/>
          <w:iCs/>
        </w:rPr>
        <w:t xml:space="preserve"> </w:t>
      </w:r>
      <w:r w:rsidR="00E91773">
        <w:rPr>
          <w:i/>
          <w:iCs/>
        </w:rPr>
        <w:t xml:space="preserve">continuer à </w:t>
      </w:r>
      <w:r w:rsidR="0007557A" w:rsidRPr="0071079B">
        <w:rPr>
          <w:i/>
          <w:iCs/>
        </w:rPr>
        <w:t>progresser.</w:t>
      </w:r>
      <w:r w:rsidR="0007557A">
        <w:t> »</w:t>
      </w:r>
    </w:p>
    <w:p w14:paraId="21DFD482" w14:textId="77777777" w:rsidR="00724D6C" w:rsidRDefault="00724D6C">
      <w:pPr>
        <w:jc w:val="both"/>
      </w:pPr>
    </w:p>
    <w:p w14:paraId="6B525F4C" w14:textId="6E8ABE37" w:rsidR="00EF0C12" w:rsidRDefault="00EF0C12" w:rsidP="00EF0C12">
      <w:pPr>
        <w:jc w:val="both"/>
      </w:pPr>
      <w:r>
        <w:t xml:space="preserve">Pour Laetitia George, directrice de l’Asset Management </w:t>
      </w:r>
      <w:r w:rsidR="00A95F96">
        <w:t xml:space="preserve">Immobilier Tertiaire </w:t>
      </w:r>
      <w:r>
        <w:t xml:space="preserve">chez Groupama Immobilier, </w:t>
      </w:r>
      <w:r w:rsidR="00813D8E">
        <w:t xml:space="preserve">l’espoir est dans l’innovation bas carbone et circulaire : </w:t>
      </w:r>
      <w:r w:rsidRPr="0071079B">
        <w:rPr>
          <w:i/>
          <w:iCs/>
        </w:rPr>
        <w:t xml:space="preserve">« félicitations pour les industriels qui jouent le jeu de la transparence et ont produit beaucoup de fiches. </w:t>
      </w:r>
      <w:r w:rsidR="00CC45D1">
        <w:rPr>
          <w:i/>
          <w:iCs/>
        </w:rPr>
        <w:t>Mais i</w:t>
      </w:r>
      <w:r w:rsidRPr="0071079B">
        <w:rPr>
          <w:i/>
          <w:iCs/>
        </w:rPr>
        <w:t>l en manque encore beaucoup</w:t>
      </w:r>
      <w:r w:rsidR="00CC45D1">
        <w:rPr>
          <w:i/>
          <w:iCs/>
        </w:rPr>
        <w:t xml:space="preserve">. </w:t>
      </w:r>
      <w:r w:rsidR="008905E6">
        <w:rPr>
          <w:i/>
          <w:iCs/>
        </w:rPr>
        <w:t>N</w:t>
      </w:r>
      <w:r w:rsidRPr="0071079B">
        <w:rPr>
          <w:i/>
          <w:iCs/>
        </w:rPr>
        <w:t xml:space="preserve">ous nous engageons à </w:t>
      </w:r>
      <w:r w:rsidR="008905E6">
        <w:rPr>
          <w:i/>
          <w:iCs/>
        </w:rPr>
        <w:t xml:space="preserve">présent à </w:t>
      </w:r>
      <w:r w:rsidRPr="0071079B">
        <w:rPr>
          <w:i/>
          <w:iCs/>
        </w:rPr>
        <w:t>nous intéresser de très près aux solutions</w:t>
      </w:r>
      <w:r w:rsidR="008905E6">
        <w:rPr>
          <w:i/>
          <w:iCs/>
        </w:rPr>
        <w:t xml:space="preserve"> vertueuses</w:t>
      </w:r>
      <w:r w:rsidRPr="0071079B">
        <w:rPr>
          <w:i/>
          <w:iCs/>
        </w:rPr>
        <w:t xml:space="preserve"> qui nous sont présentées, chiffres à l’appui.</w:t>
      </w:r>
      <w:r>
        <w:t xml:space="preserve"> »</w:t>
      </w:r>
    </w:p>
    <w:p w14:paraId="2B2C98FA" w14:textId="6B35ABFF" w:rsidR="00915390" w:rsidRDefault="00915390">
      <w:pPr>
        <w:jc w:val="both"/>
      </w:pPr>
    </w:p>
    <w:p w14:paraId="682ED355" w14:textId="63C628F8" w:rsidR="000D7E71" w:rsidRDefault="008905E6" w:rsidP="0007557A">
      <w:pPr>
        <w:jc w:val="both"/>
      </w:pPr>
      <w:r>
        <w:t>Ainsi, l</w:t>
      </w:r>
      <w:r w:rsidR="00EF0B59">
        <w:t>e</w:t>
      </w:r>
      <w:r>
        <w:t>s</w:t>
      </w:r>
      <w:r w:rsidR="00EF0B59">
        <w:t xml:space="preserve"> </w:t>
      </w:r>
      <w:r>
        <w:t xml:space="preserve">prochains travaux du </w:t>
      </w:r>
      <w:r w:rsidR="00EF0B59">
        <w:t xml:space="preserve">Hub </w:t>
      </w:r>
      <w:r>
        <w:t xml:space="preserve">s’axeront sur la qualification et l’évaluation </w:t>
      </w:r>
      <w:r w:rsidR="00395724">
        <w:t>des</w:t>
      </w:r>
      <w:r>
        <w:t xml:space="preserve"> matériaux et des systèmes en matière de conception bas carbone</w:t>
      </w:r>
      <w:r w:rsidR="00395724">
        <w:t>,</w:t>
      </w:r>
      <w:r>
        <w:t xml:space="preserve"> pour l’aide à la prescription</w:t>
      </w:r>
      <w:r w:rsidR="00395724">
        <w:t xml:space="preserve">. Invitation est faite </w:t>
      </w:r>
      <w:r w:rsidR="00EF0B59">
        <w:t xml:space="preserve">à tous les </w:t>
      </w:r>
      <w:r w:rsidR="00664CA3">
        <w:t xml:space="preserve">prescripteurs qui souhaitent peser dans l’avènement </w:t>
      </w:r>
      <w:r w:rsidR="00395724">
        <w:t>de ce futur désirable !</w:t>
      </w:r>
      <w:r w:rsidR="00664CA3">
        <w:t xml:space="preserve"> </w:t>
      </w:r>
    </w:p>
    <w:p w14:paraId="53EF0D26" w14:textId="54F13D12" w:rsidR="0007557A" w:rsidRDefault="00664CA3" w:rsidP="0007557A">
      <w:pPr>
        <w:jc w:val="both"/>
      </w:pPr>
      <w:r>
        <w:t>Les entreprises du Hub en appellent</w:t>
      </w:r>
      <w:r w:rsidR="000D7E71">
        <w:t xml:space="preserve"> également</w:t>
      </w:r>
      <w:r>
        <w:t xml:space="preserve"> aux industriels qui souhaitent développer une relation de collaboration étroite** pour la suite des travaux.</w:t>
      </w:r>
    </w:p>
    <w:p w14:paraId="05143433" w14:textId="551F1B34" w:rsidR="009C0543" w:rsidRDefault="009C0543">
      <w:pPr>
        <w:jc w:val="both"/>
      </w:pPr>
    </w:p>
    <w:p w14:paraId="256376A7" w14:textId="6939611C" w:rsidR="007D27DD" w:rsidRDefault="00A64C11" w:rsidP="00BE5996">
      <w:pPr>
        <w:jc w:val="center"/>
      </w:pPr>
      <w:hyperlink r:id="rId8" w:history="1">
        <w:r w:rsidR="007D27DD" w:rsidRPr="007C2787">
          <w:rPr>
            <w:rStyle w:val="Lienhypertexte"/>
          </w:rPr>
          <w:t>Retrouvez les messages clés sur ce lien</w:t>
        </w:r>
      </w:hyperlink>
    </w:p>
    <w:p w14:paraId="2B1AB485" w14:textId="77777777" w:rsidR="009C0543" w:rsidRDefault="009C0543">
      <w:pPr>
        <w:jc w:val="both"/>
      </w:pPr>
    </w:p>
    <w:p w14:paraId="26B61683" w14:textId="328A7396" w:rsidR="00915390" w:rsidRDefault="00915390">
      <w:pPr>
        <w:jc w:val="both"/>
      </w:pPr>
    </w:p>
    <w:p w14:paraId="65D1D6C4" w14:textId="71A70FE8" w:rsidR="00915390" w:rsidRDefault="00915390" w:rsidP="00915390">
      <w:pPr>
        <w:jc w:val="both"/>
      </w:pPr>
      <w:r>
        <w:rPr>
          <w:highlight w:val="white"/>
        </w:rPr>
        <w:t>*Le Hub des prescripteurs bas carbone</w:t>
      </w:r>
      <w:r w:rsidR="007D27DD">
        <w:rPr>
          <w:highlight w:val="white"/>
        </w:rPr>
        <w:t xml:space="preserve"> est </w:t>
      </w:r>
      <w:r w:rsidR="009C0543">
        <w:rPr>
          <w:highlight w:val="white"/>
        </w:rPr>
        <w:t>ouvert à tous les prescripteurs</w:t>
      </w:r>
      <w:r w:rsidR="007D27DD">
        <w:rPr>
          <w:highlight w:val="white"/>
        </w:rPr>
        <w:t xml:space="preserve"> et </w:t>
      </w:r>
      <w:r>
        <w:rPr>
          <w:highlight w:val="white"/>
        </w:rPr>
        <w:t xml:space="preserve">compte </w:t>
      </w:r>
      <w:r w:rsidR="007D27DD">
        <w:rPr>
          <w:highlight w:val="white"/>
        </w:rPr>
        <w:t xml:space="preserve">actuellement avec </w:t>
      </w:r>
      <w:r>
        <w:rPr>
          <w:highlight w:val="white"/>
        </w:rPr>
        <w:t xml:space="preserve">neuf participants, qui pilotent et coordonnent la plateforme : BNP Paribas Real Estate, Bouygues Construction, Bouygues Immobilier, Covivio, Groupama Immobilier, Poste </w:t>
      </w:r>
      <w:proofErr w:type="spellStart"/>
      <w:r>
        <w:rPr>
          <w:highlight w:val="white"/>
        </w:rPr>
        <w:t>Immo</w:t>
      </w:r>
      <w:proofErr w:type="spellEnd"/>
      <w:r>
        <w:rPr>
          <w:highlight w:val="white"/>
        </w:rPr>
        <w:t xml:space="preserve">, Rabot Dutilleul, </w:t>
      </w:r>
      <w:proofErr w:type="spellStart"/>
      <w:r>
        <w:rPr>
          <w:highlight w:val="white"/>
        </w:rPr>
        <w:t>Sogeprom</w:t>
      </w:r>
      <w:proofErr w:type="spellEnd"/>
      <w:r>
        <w:t xml:space="preserve">, </w:t>
      </w:r>
      <w:r>
        <w:rPr>
          <w:highlight w:val="white"/>
        </w:rPr>
        <w:t>Vinci Immobilier</w:t>
      </w:r>
      <w:r>
        <w:t>.</w:t>
      </w:r>
    </w:p>
    <w:p w14:paraId="04810CB9" w14:textId="2EC427E3" w:rsidR="00915390" w:rsidRDefault="00C014AF" w:rsidP="00A1642F">
      <w:pPr>
        <w:jc w:val="both"/>
      </w:pPr>
      <w:r>
        <w:t xml:space="preserve">** </w:t>
      </w:r>
      <w:r w:rsidR="00A1642F">
        <w:t xml:space="preserve">Contact directement sur </w:t>
      </w:r>
      <w:hyperlink r:id="rId9" w:history="1">
        <w:r w:rsidR="00A1642F" w:rsidRPr="003F6C30">
          <w:rPr>
            <w:rStyle w:val="Lienhypertexte"/>
          </w:rPr>
          <w:t>hub_bascarbone@ifpeb.fr</w:t>
        </w:r>
      </w:hyperlink>
      <w:r w:rsidR="00A1642F">
        <w:t xml:space="preserve"> </w:t>
      </w:r>
    </w:p>
    <w:bookmarkEnd w:id="0"/>
    <w:p w14:paraId="525D6479" w14:textId="77777777" w:rsidR="00915390" w:rsidRDefault="00915390">
      <w:pPr>
        <w:jc w:val="both"/>
      </w:pPr>
    </w:p>
    <w:p w14:paraId="56E5BE50" w14:textId="415BFB4E" w:rsidR="00BA05A9" w:rsidRDefault="0071079B" w:rsidP="0071079B">
      <w:pPr>
        <w:pStyle w:val="Titre1"/>
      </w:pPr>
      <w:r>
        <w:t>Illustrations</w:t>
      </w:r>
      <w:r w:rsidR="007C2787">
        <w:t xml:space="preserve"> </w:t>
      </w:r>
    </w:p>
    <w:p w14:paraId="00C4AFD0" w14:textId="539C0F1D" w:rsidR="007C2787" w:rsidRPr="00BE5996" w:rsidRDefault="007C2787" w:rsidP="007C2787">
      <w:r>
        <w:t xml:space="preserve">Les fichiers sources des illustrations sont à télécharger </w:t>
      </w:r>
      <w:r w:rsidR="00BE5996">
        <w:rPr>
          <w:i/>
          <w:iCs/>
        </w:rPr>
        <w:t>in extenso</w:t>
      </w:r>
      <w:r w:rsidR="00BE5996">
        <w:t>.</w:t>
      </w:r>
    </w:p>
    <w:p w14:paraId="6F84C69A" w14:textId="77777777" w:rsidR="00E1574C" w:rsidRDefault="00E1574C">
      <w:pPr>
        <w:jc w:val="both"/>
        <w:rPr>
          <w:b/>
        </w:rPr>
      </w:pPr>
    </w:p>
    <w:p w14:paraId="7C077BC5" w14:textId="48CF929E" w:rsidR="00BA05A9" w:rsidRDefault="00BA05A9">
      <w:pPr>
        <w:jc w:val="both"/>
        <w:rPr>
          <w:b/>
        </w:rPr>
      </w:pPr>
    </w:p>
    <w:p w14:paraId="75290566" w14:textId="77777777" w:rsidR="00BA05A9" w:rsidRDefault="00BA05A9">
      <w:pPr>
        <w:jc w:val="both"/>
        <w:rPr>
          <w:i/>
          <w:sz w:val="20"/>
          <w:szCs w:val="20"/>
        </w:rPr>
      </w:pPr>
    </w:p>
    <w:p w14:paraId="41C108F3" w14:textId="77777777" w:rsidR="00BA05A9" w:rsidRDefault="0072182D">
      <w:pPr>
        <w:jc w:val="both"/>
        <w:rPr>
          <w:b/>
        </w:rPr>
      </w:pPr>
      <w:r>
        <w:rPr>
          <w:b/>
          <w:noProof/>
        </w:rPr>
        <w:drawing>
          <wp:inline distT="114300" distB="114300" distL="114300" distR="114300" wp14:anchorId="6508572B" wp14:editId="4619DC4B">
            <wp:extent cx="5663017" cy="2468880"/>
            <wp:effectExtent l="0" t="0" r="0" b="762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771" cy="2471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812586" w14:textId="77777777" w:rsidR="00BA05A9" w:rsidRDefault="0072182D">
      <w:pPr>
        <w:spacing w:before="60" w:after="120"/>
        <w:jc w:val="both"/>
        <w:rPr>
          <w:i/>
          <w:color w:val="666666"/>
          <w:sz w:val="18"/>
          <w:szCs w:val="18"/>
        </w:rPr>
      </w:pPr>
      <w:r>
        <w:rPr>
          <w:i/>
          <w:color w:val="666666"/>
          <w:sz w:val="18"/>
          <w:szCs w:val="18"/>
        </w:rPr>
        <w:t>Ces données sont corrigées des principales erreurs et incohérences de la base de données de l’Observatoire E+C- (Base de données “Corrigée” de l’outil du Hub des prescripteurs bas carbone).</w:t>
      </w:r>
    </w:p>
    <w:p w14:paraId="668957F3" w14:textId="77777777" w:rsidR="00BA05A9" w:rsidRDefault="0072182D">
      <w:pPr>
        <w:spacing w:before="60" w:after="120"/>
        <w:jc w:val="both"/>
        <w:rPr>
          <w:i/>
          <w:color w:val="666666"/>
          <w:sz w:val="18"/>
          <w:szCs w:val="18"/>
        </w:rPr>
      </w:pPr>
      <w:r>
        <w:rPr>
          <w:i/>
          <w:noProof/>
          <w:color w:val="666666"/>
          <w:sz w:val="18"/>
          <w:szCs w:val="18"/>
        </w:rPr>
        <w:drawing>
          <wp:inline distT="114300" distB="114300" distL="114300" distR="114300" wp14:anchorId="3506D7A6" wp14:editId="01123C84">
            <wp:extent cx="5833461" cy="253746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727" cy="25393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FFF00D" w14:textId="77777777" w:rsidR="00BA05A9" w:rsidRDefault="00BA05A9">
      <w:pPr>
        <w:jc w:val="both"/>
        <w:rPr>
          <w:b/>
        </w:rPr>
      </w:pPr>
    </w:p>
    <w:p w14:paraId="1EA8F658" w14:textId="77777777" w:rsidR="00BA05A9" w:rsidRDefault="0072182D">
      <w:pPr>
        <w:spacing w:before="60" w:after="120"/>
        <w:jc w:val="both"/>
        <w:rPr>
          <w:b/>
        </w:rPr>
      </w:pPr>
      <w:r>
        <w:rPr>
          <w:i/>
          <w:color w:val="666666"/>
          <w:sz w:val="18"/>
          <w:szCs w:val="18"/>
        </w:rPr>
        <w:lastRenderedPageBreak/>
        <w:t>Ces données sont corrigées des principales erreurs et incohérences, de la base de données de l’Observatoire E+C-. Les bâtiments avec des données manquantes sont exclues (Base de données “Corrigée et complète” de de l’outil du Hub des prescripteurs bas carbone).</w:t>
      </w:r>
    </w:p>
    <w:sectPr w:rsidR="00BA05A9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BFECA" w16cex:dateUtc="2020-04-23T09:47:00Z"/>
  <w16cex:commentExtensible w16cex:durableId="224BFFC2" w16cex:dateUtc="2020-04-23T09:51:00Z"/>
  <w16cex:commentExtensible w16cex:durableId="224C01C4" w16cex:dateUtc="2020-04-23T10:00:00Z"/>
  <w16cex:commentExtensible w16cex:durableId="224C0229" w16cex:dateUtc="2020-04-23T10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4A2DF" w14:textId="77777777" w:rsidR="00A64C11" w:rsidRDefault="00A64C11" w:rsidP="00BE5996">
      <w:pPr>
        <w:spacing w:line="240" w:lineRule="auto"/>
      </w:pPr>
      <w:r>
        <w:separator/>
      </w:r>
    </w:p>
  </w:endnote>
  <w:endnote w:type="continuationSeparator" w:id="0">
    <w:p w14:paraId="404F0BAE" w14:textId="77777777" w:rsidR="00A64C11" w:rsidRDefault="00A64C11" w:rsidP="00BE5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6957A" w14:textId="77777777" w:rsidR="00A64C11" w:rsidRDefault="00A64C11" w:rsidP="00BE5996">
      <w:pPr>
        <w:spacing w:line="240" w:lineRule="auto"/>
      </w:pPr>
      <w:r>
        <w:separator/>
      </w:r>
    </w:p>
  </w:footnote>
  <w:footnote w:type="continuationSeparator" w:id="0">
    <w:p w14:paraId="5A8E0516" w14:textId="77777777" w:rsidR="00A64C11" w:rsidRDefault="00A64C11" w:rsidP="00BE5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1CA6F" w14:textId="4F0F0520" w:rsidR="00BE5996" w:rsidRDefault="00BE599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173DE8" wp14:editId="0A0332DF">
          <wp:simplePos x="0" y="0"/>
          <wp:positionH relativeFrom="column">
            <wp:posOffset>1386840</wp:posOffset>
          </wp:positionH>
          <wp:positionV relativeFrom="paragraph">
            <wp:posOffset>-213360</wp:posOffset>
          </wp:positionV>
          <wp:extent cx="1047115" cy="480060"/>
          <wp:effectExtent l="0" t="0" r="635" b="0"/>
          <wp:wrapTight wrapText="bothSides">
            <wp:wrapPolygon edited="0">
              <wp:start x="7859" y="0"/>
              <wp:lineTo x="0" y="2571"/>
              <wp:lineTo x="0" y="15429"/>
              <wp:lineTo x="9038" y="15429"/>
              <wp:lineTo x="9038" y="20571"/>
              <wp:lineTo x="11003" y="20571"/>
              <wp:lineTo x="11003" y="15429"/>
              <wp:lineTo x="21220" y="14571"/>
              <wp:lineTo x="21220" y="7714"/>
              <wp:lineTo x="18469" y="0"/>
              <wp:lineTo x="7859" y="0"/>
            </wp:wrapPolygon>
          </wp:wrapTight>
          <wp:docPr id="4" name="Image 4" descr="IFPEB | Institut Français pour la performance du bâti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FPEB | Institut Français pour la performance du bâti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6AB8A09" wp14:editId="3F9F9581">
          <wp:simplePos x="0" y="0"/>
          <wp:positionH relativeFrom="column">
            <wp:posOffset>2773680</wp:posOffset>
          </wp:positionH>
          <wp:positionV relativeFrom="paragraph">
            <wp:posOffset>-232410</wp:posOffset>
          </wp:positionV>
          <wp:extent cx="1447800" cy="470535"/>
          <wp:effectExtent l="0" t="0" r="0" b="5715"/>
          <wp:wrapTight wrapText="bothSides">
            <wp:wrapPolygon edited="0">
              <wp:start x="3695" y="0"/>
              <wp:lineTo x="0" y="874"/>
              <wp:lineTo x="0" y="14866"/>
              <wp:lineTo x="568" y="20988"/>
              <wp:lineTo x="2274" y="20988"/>
              <wp:lineTo x="3695" y="20988"/>
              <wp:lineTo x="21316" y="14866"/>
              <wp:lineTo x="21316" y="5247"/>
              <wp:lineTo x="5400" y="0"/>
              <wp:lineTo x="3695" y="0"/>
            </wp:wrapPolygon>
          </wp:wrapTight>
          <wp:docPr id="2" name="Image 2" descr="Carbone 4 - 1er cabinet de conseil spécialisé dans la stratégi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bone 4 - 1er cabinet de conseil spécialisé dans la stratégie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CE9"/>
    <w:multiLevelType w:val="multilevel"/>
    <w:tmpl w:val="A4EC6C36"/>
    <w:lvl w:ilvl="0">
      <w:start w:val="1"/>
      <w:numFmt w:val="lowerLetter"/>
      <w:lvlText w:val="%1."/>
      <w:lvlJc w:val="left"/>
      <w:pPr>
        <w:ind w:left="928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648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368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088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808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2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24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96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688" w:hanging="360"/>
      </w:pPr>
      <w:rPr>
        <w:u w:val="none"/>
      </w:rPr>
    </w:lvl>
  </w:abstractNum>
  <w:abstractNum w:abstractNumId="1" w15:restartNumberingAfterBreak="0">
    <w:nsid w:val="07614718"/>
    <w:multiLevelType w:val="multilevel"/>
    <w:tmpl w:val="3AF43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8B0D9C"/>
    <w:multiLevelType w:val="multilevel"/>
    <w:tmpl w:val="9642C7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1F95C40"/>
    <w:multiLevelType w:val="hybridMultilevel"/>
    <w:tmpl w:val="A70047B8"/>
    <w:lvl w:ilvl="0" w:tplc="C486C268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C0F2A"/>
    <w:multiLevelType w:val="multilevel"/>
    <w:tmpl w:val="F15050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C9162B"/>
    <w:multiLevelType w:val="multilevel"/>
    <w:tmpl w:val="4EBA9C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721854"/>
    <w:multiLevelType w:val="multilevel"/>
    <w:tmpl w:val="E92CCA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A9"/>
    <w:rsid w:val="00023D15"/>
    <w:rsid w:val="0004222B"/>
    <w:rsid w:val="00042614"/>
    <w:rsid w:val="00062386"/>
    <w:rsid w:val="0007557A"/>
    <w:rsid w:val="000D7E71"/>
    <w:rsid w:val="00120D7F"/>
    <w:rsid w:val="001C4057"/>
    <w:rsid w:val="001E0391"/>
    <w:rsid w:val="0021302C"/>
    <w:rsid w:val="002F2585"/>
    <w:rsid w:val="00370F9C"/>
    <w:rsid w:val="00395724"/>
    <w:rsid w:val="003D7035"/>
    <w:rsid w:val="00402B0E"/>
    <w:rsid w:val="0043342F"/>
    <w:rsid w:val="0048579D"/>
    <w:rsid w:val="004923EB"/>
    <w:rsid w:val="005D0087"/>
    <w:rsid w:val="00600A7C"/>
    <w:rsid w:val="00664CA3"/>
    <w:rsid w:val="00671216"/>
    <w:rsid w:val="00682811"/>
    <w:rsid w:val="006D2D2B"/>
    <w:rsid w:val="006E43BE"/>
    <w:rsid w:val="0071079B"/>
    <w:rsid w:val="0072182D"/>
    <w:rsid w:val="00724D6C"/>
    <w:rsid w:val="007B4F2E"/>
    <w:rsid w:val="007C2787"/>
    <w:rsid w:val="007D27DD"/>
    <w:rsid w:val="00803F26"/>
    <w:rsid w:val="00813D8E"/>
    <w:rsid w:val="00872626"/>
    <w:rsid w:val="008905E6"/>
    <w:rsid w:val="008C47EA"/>
    <w:rsid w:val="008F111B"/>
    <w:rsid w:val="00915390"/>
    <w:rsid w:val="00925139"/>
    <w:rsid w:val="00934650"/>
    <w:rsid w:val="009956AB"/>
    <w:rsid w:val="009C0543"/>
    <w:rsid w:val="00A1642F"/>
    <w:rsid w:val="00A64C11"/>
    <w:rsid w:val="00A7108C"/>
    <w:rsid w:val="00A95F96"/>
    <w:rsid w:val="00AC550F"/>
    <w:rsid w:val="00B206E6"/>
    <w:rsid w:val="00B47516"/>
    <w:rsid w:val="00BA05A9"/>
    <w:rsid w:val="00BE2D1C"/>
    <w:rsid w:val="00BE5996"/>
    <w:rsid w:val="00BF16FC"/>
    <w:rsid w:val="00C014AF"/>
    <w:rsid w:val="00C078EC"/>
    <w:rsid w:val="00C21DE6"/>
    <w:rsid w:val="00C3011F"/>
    <w:rsid w:val="00C40830"/>
    <w:rsid w:val="00C64AD7"/>
    <w:rsid w:val="00C66E44"/>
    <w:rsid w:val="00CC45D1"/>
    <w:rsid w:val="00D20F5B"/>
    <w:rsid w:val="00D24328"/>
    <w:rsid w:val="00D43930"/>
    <w:rsid w:val="00DA04C8"/>
    <w:rsid w:val="00DB0D99"/>
    <w:rsid w:val="00DD054B"/>
    <w:rsid w:val="00E04B66"/>
    <w:rsid w:val="00E1574C"/>
    <w:rsid w:val="00E25853"/>
    <w:rsid w:val="00E44712"/>
    <w:rsid w:val="00E56313"/>
    <w:rsid w:val="00E65715"/>
    <w:rsid w:val="00E91773"/>
    <w:rsid w:val="00EF0B59"/>
    <w:rsid w:val="00EF0C12"/>
    <w:rsid w:val="00EF5FFE"/>
    <w:rsid w:val="00F25BE4"/>
    <w:rsid w:val="00F57200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5D8D"/>
  <w15:docId w15:val="{585EAA38-B2A5-CF4F-8297-070E127B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82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82D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6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6F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1642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642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E599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996"/>
  </w:style>
  <w:style w:type="paragraph" w:styleId="Pieddepage">
    <w:name w:val="footer"/>
    <w:basedOn w:val="Normal"/>
    <w:link w:val="PieddepageCar"/>
    <w:uiPriority w:val="99"/>
    <w:unhideWhenUsed/>
    <w:rsid w:val="00BE599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peb.fr/2020/04/10/webinaire-de-presentation-conclusions-outils-hub-prescripteurs-bas-carbo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hub_bascarbone@ifpeb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F3B5C2-32E9-4962-9429-EA0B7C4C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 ANTUNES</dc:creator>
  <cp:lastModifiedBy>Alicia Engel</cp:lastModifiedBy>
  <cp:revision>3</cp:revision>
  <dcterms:created xsi:type="dcterms:W3CDTF">2020-04-27T07:55:00Z</dcterms:created>
  <dcterms:modified xsi:type="dcterms:W3CDTF">2020-04-27T08:30:00Z</dcterms:modified>
</cp:coreProperties>
</file>